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13"/>
        <w:gridCol w:w="4513"/>
      </w:tblGrid>
      <w:tr w:rsidR="00D56E35" w:rsidRPr="00D56E35" w:rsidTr="00D56E35">
        <w:trPr>
          <w:tblCellSpacing w:w="0" w:type="dxa"/>
        </w:trPr>
        <w:tc>
          <w:tcPr>
            <w:tcW w:w="0" w:type="auto"/>
            <w:vAlign w:val="center"/>
            <w:hideMark/>
          </w:tcPr>
          <w:p w:rsidR="00D56E35" w:rsidRPr="00D56E35" w:rsidRDefault="00D56E35">
            <w:pPr>
              <w:rPr>
                <w:rFonts w:ascii="Verdana" w:eastAsia="Times New Roman" w:hAnsi="Verdana"/>
                <w:color w:val="4F81BD"/>
                <w:sz w:val="19"/>
                <w:szCs w:val="19"/>
              </w:rPr>
            </w:pPr>
          </w:p>
        </w:tc>
        <w:tc>
          <w:tcPr>
            <w:tcW w:w="0" w:type="auto"/>
            <w:vAlign w:val="center"/>
            <w:hideMark/>
          </w:tcPr>
          <w:p w:rsidR="00D56E35" w:rsidRPr="00D56E35" w:rsidRDefault="00D56E35">
            <w:pPr>
              <w:jc w:val="right"/>
              <w:rPr>
                <w:rFonts w:ascii="Verdana" w:eastAsia="Times New Roman" w:hAnsi="Verdana"/>
                <w:color w:val="4F81BD"/>
                <w:sz w:val="19"/>
                <w:szCs w:val="19"/>
              </w:rPr>
            </w:pPr>
          </w:p>
        </w:tc>
      </w:tr>
    </w:tbl>
    <w:p w:rsidR="00D56E35" w:rsidRDefault="00EA57FB" w:rsidP="00120118">
      <w:pP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6.3pt;height:57.05pt">
            <v:imagedata r:id="rId8" o:title="D11 2281819  AER Logo Outlined type Large colour"/>
          </v:shape>
        </w:pict>
      </w:r>
    </w:p>
    <w:p w:rsidR="00120118" w:rsidRDefault="00120118" w:rsidP="00120118">
      <w:pPr>
        <w:pStyle w:val="AERtitle1"/>
      </w:pPr>
      <w:bookmarkStart w:id="0" w:name="OLE_LINK3"/>
      <w:bookmarkStart w:id="1" w:name="OLE_LINK4"/>
      <w:r w:rsidRPr="00B02D76">
        <w:t>Expenditure Forecast Assessment Guidelines Working Group meeting No. 2</w:t>
      </w:r>
    </w:p>
    <w:p w:rsidR="00120118" w:rsidRPr="00B02D76" w:rsidRDefault="006F1DE1" w:rsidP="00587B21">
      <w:pPr>
        <w:pStyle w:val="Heading1"/>
      </w:pPr>
      <w:r w:rsidRPr="00B02D76">
        <w:t>Summary of meeting</w:t>
      </w:r>
      <w:r w:rsidR="00120118">
        <w:t xml:space="preserve"> - </w:t>
      </w:r>
      <w:r w:rsidR="00120118" w:rsidRPr="00B02D76">
        <w:t>28 February 2013</w:t>
      </w:r>
    </w:p>
    <w:p w:rsidR="006F1DE1" w:rsidRPr="00B02D76" w:rsidRDefault="006F1DE1" w:rsidP="00587B21">
      <w:pPr>
        <w:pStyle w:val="Heading2"/>
      </w:pPr>
      <w:r w:rsidRPr="00B02D76">
        <w:t>Category assessment – selection of expenditure categories</w:t>
      </w:r>
    </w:p>
    <w:p w:rsidR="006F1DE1" w:rsidRPr="00587B21" w:rsidRDefault="006F1DE1" w:rsidP="00587B21">
      <w:pPr>
        <w:rPr>
          <w:rStyle w:val="AERbody"/>
        </w:rPr>
      </w:pPr>
      <w:r w:rsidRPr="00587B21">
        <w:rPr>
          <w:rStyle w:val="AERbody"/>
        </w:rPr>
        <w:t>Held via video link between AER’s Melbourne and Sydney offices</w:t>
      </w:r>
    </w:p>
    <w:p w:rsidR="006F1DE1" w:rsidRP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 xml:space="preserve">On 28 February 2013, the AER, as part of its </w:t>
      </w:r>
      <w:r w:rsidRPr="00FB1692">
        <w:rPr>
          <w:rStyle w:val="AERbody"/>
          <w:rFonts w:eastAsia="Calibri"/>
          <w:b w:val="0"/>
          <w:i/>
          <w:szCs w:val="22"/>
          <w:lang w:eastAsia="en-US"/>
        </w:rPr>
        <w:t>Better Regulation</w:t>
      </w:r>
      <w:r w:rsidRPr="006F1DE1">
        <w:rPr>
          <w:rStyle w:val="AERbody"/>
          <w:rFonts w:eastAsia="Calibri"/>
          <w:b w:val="0"/>
          <w:szCs w:val="22"/>
          <w:lang w:eastAsia="en-US"/>
        </w:rPr>
        <w:t xml:space="preserve"> package, hosted a working group meeting on the development of the Expenditure forecast assessment guidelines (the Guidelines). The meeting was chaired by Chris Pattas and Anthony Seipolt of the AER. A full attendee list can be found in Attachment A. This summary outlines the key topics and themes of the meeting, including views expressed at the meeting, without ascribing particular comments to any one individual or organisation.</w:t>
      </w:r>
    </w:p>
    <w:p w:rsidR="006F1DE1" w:rsidRPr="006F1DE1" w:rsidRDefault="006F1DE1" w:rsidP="00587B21">
      <w:pPr>
        <w:pStyle w:val="Heading2"/>
        <w:rPr>
          <w:rStyle w:val="AERtextbolditalics"/>
          <w:b/>
          <w:i/>
        </w:rPr>
      </w:pPr>
      <w:r w:rsidRPr="006F1DE1">
        <w:rPr>
          <w:rStyle w:val="AERtextbolditalics"/>
          <w:b/>
          <w:i/>
        </w:rPr>
        <w:t>1</w:t>
      </w:r>
      <w:r w:rsidRPr="006F1DE1">
        <w:rPr>
          <w:rStyle w:val="AERtextbolditalics"/>
          <w:b/>
          <w:i/>
        </w:rPr>
        <w:tab/>
        <w:t>Summary of main discussion</w:t>
      </w:r>
    </w:p>
    <w:p w:rsidR="006F1DE1" w:rsidRP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 xml:space="preserve">At this workshop AER staff introduced the intentions and principles around category based assessment. In this context, network service providers (NSPs) were asked how they would categorise their expenditures. </w:t>
      </w:r>
    </w:p>
    <w:p w:rsidR="006F1DE1" w:rsidRP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The various issues raised in this interactive session were noted on a powerpoint presentation which can be found on the AER’s website along with this summary.</w:t>
      </w:r>
    </w:p>
    <w:p w:rsidR="006F1DE1" w:rsidRPr="00587B21" w:rsidRDefault="006F1DE1" w:rsidP="00587B21">
      <w:pPr>
        <w:pStyle w:val="Heading2"/>
        <w:rPr>
          <w:rStyle w:val="AERtextbolditalics"/>
          <w:b/>
          <w:i/>
        </w:rPr>
      </w:pPr>
      <w:r w:rsidRPr="00587B21">
        <w:rPr>
          <w:rStyle w:val="AERtextbolditalics"/>
          <w:b/>
          <w:i/>
        </w:rPr>
        <w:t>2</w:t>
      </w:r>
      <w:r w:rsidRPr="00587B21">
        <w:rPr>
          <w:rStyle w:val="AERtextbolditalics"/>
          <w:b/>
          <w:i/>
        </w:rPr>
        <w:tab/>
        <w:t>General matters raised</w:t>
      </w:r>
    </w:p>
    <w:p w:rsidR="006F1DE1" w:rsidRP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Consumer representatives expressed a concern about their ability to engage in the guidelines development process given the workload and meeting timetable. The role of the AER’s Customer Reference Group was noted as a mechanism to overcome this potential barrier.</w:t>
      </w:r>
    </w:p>
    <w:p w:rsidR="006F1DE1" w:rsidRP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NSPs raised concerns around the AER’s work program regarding the lack of certainty/ consultation on how all proposed techniques (including economic benchmarking) would be used to set allowances. It was noted that to set allowances, the techniques would require a high degree of accuracy. AER staff noted that this would be an issue in the appropriate selection and use of techniques. It was noted that the use of benchmarking to set NSP allowances may be inconsistent with current incentive mechanisms, which presume a “base year” expenditure forecasting method.</w:t>
      </w:r>
    </w:p>
    <w:p w:rsidR="006F1DE1" w:rsidRDefault="006F1DE1" w:rsidP="006F1DE1">
      <w:pPr>
        <w:pStyle w:val="AERtitle1"/>
        <w:jc w:val="left"/>
        <w:rPr>
          <w:rStyle w:val="AERbody"/>
          <w:rFonts w:eastAsia="Calibri"/>
          <w:b w:val="0"/>
          <w:szCs w:val="22"/>
          <w:lang w:eastAsia="en-US"/>
        </w:rPr>
      </w:pPr>
      <w:r w:rsidRPr="006F1DE1">
        <w:rPr>
          <w:rStyle w:val="AERbody"/>
          <w:rFonts w:eastAsia="Calibri"/>
          <w:b w:val="0"/>
          <w:szCs w:val="22"/>
          <w:lang w:eastAsia="en-US"/>
        </w:rPr>
        <w:t>Transmission networks noted they have a much longer history of regulation with the AER and questioned whether departure from existing approaches was warranted. For example, it was questioned whether the AER’s Submission Guidelines were not adequate for the purpose of expenditure categorisation.</w:t>
      </w:r>
    </w:p>
    <w:p w:rsidR="006F1DE1" w:rsidRPr="00B02D76" w:rsidRDefault="006F1DE1" w:rsidP="00587B21">
      <w:pPr>
        <w:pStyle w:val="Heading2"/>
      </w:pPr>
      <w:r>
        <w:rPr>
          <w:rStyle w:val="AERbody"/>
          <w:rFonts w:eastAsia="Calibri"/>
          <w:szCs w:val="22"/>
        </w:rPr>
        <w:br w:type="page"/>
      </w:r>
      <w:r w:rsidRPr="00B02D76">
        <w:lastRenderedPageBreak/>
        <w:t>Attachment A: Attendee list</w:t>
      </w:r>
    </w:p>
    <w:p w:rsidR="006F1DE1" w:rsidRPr="00B02D76" w:rsidRDefault="006F1DE1" w:rsidP="00CE1BD5">
      <w:pPr>
        <w:pStyle w:val="Heading3"/>
      </w:pPr>
      <w:r w:rsidRPr="00B02D76">
        <w:t>Melbourne office</w:t>
      </w:r>
    </w:p>
    <w:tbl>
      <w:tblPr>
        <w:tblStyle w:val="TableGrid"/>
        <w:tblW w:w="0" w:type="auto"/>
        <w:tblLook w:val="04A0"/>
      </w:tblPr>
      <w:tblGrid>
        <w:gridCol w:w="4621"/>
        <w:gridCol w:w="4621"/>
      </w:tblGrid>
      <w:tr w:rsidR="006F1DE1" w:rsidTr="006F1DE1">
        <w:tc>
          <w:tcPr>
            <w:tcW w:w="4621" w:type="dxa"/>
          </w:tcPr>
          <w:p w:rsidR="006F1DE1" w:rsidRPr="00B02D76" w:rsidRDefault="006F1DE1" w:rsidP="00B02D76">
            <w:pPr>
              <w:rPr>
                <w:rStyle w:val="AERtextbolditalics"/>
              </w:rPr>
            </w:pPr>
            <w:r w:rsidRPr="00B02D76">
              <w:rPr>
                <w:rStyle w:val="AERtextbolditalics"/>
              </w:rPr>
              <w:t>Name</w:t>
            </w:r>
          </w:p>
        </w:tc>
        <w:tc>
          <w:tcPr>
            <w:tcW w:w="4621" w:type="dxa"/>
          </w:tcPr>
          <w:p w:rsidR="006F1DE1" w:rsidRPr="00B02D76" w:rsidRDefault="006F1DE1" w:rsidP="00B02D76">
            <w:pPr>
              <w:rPr>
                <w:rStyle w:val="AERtextbolditalics"/>
              </w:rPr>
            </w:pPr>
            <w:r w:rsidRPr="00B02D76">
              <w:rPr>
                <w:rStyle w:val="AERtextbolditalics"/>
              </w:rPr>
              <w:t>Organisation</w:t>
            </w:r>
          </w:p>
        </w:tc>
      </w:tr>
      <w:tr w:rsidR="006F1DE1" w:rsidTr="006F1DE1">
        <w:tc>
          <w:tcPr>
            <w:tcW w:w="4621" w:type="dxa"/>
          </w:tcPr>
          <w:p w:rsidR="006F1DE1" w:rsidRPr="00B02D76" w:rsidRDefault="00B02D76" w:rsidP="00B02D76">
            <w:pPr>
              <w:rPr>
                <w:rStyle w:val="AERbody"/>
              </w:rPr>
            </w:pPr>
            <w:r w:rsidRPr="00B02D76">
              <w:rPr>
                <w:rStyle w:val="AERbody"/>
              </w:rPr>
              <w:t>Jennifer Harris</w:t>
            </w:r>
          </w:p>
        </w:tc>
        <w:tc>
          <w:tcPr>
            <w:tcW w:w="4621" w:type="dxa"/>
          </w:tcPr>
          <w:p w:rsidR="006F1DE1" w:rsidRPr="00B02D76" w:rsidRDefault="00B02D76" w:rsidP="00B02D76">
            <w:pPr>
              <w:rPr>
                <w:rStyle w:val="AERbody"/>
              </w:rPr>
            </w:pPr>
            <w:r w:rsidRPr="00B02D76">
              <w:rPr>
                <w:rStyle w:val="AERbody"/>
              </w:rPr>
              <w:t>Powerlink</w:t>
            </w:r>
          </w:p>
        </w:tc>
      </w:tr>
      <w:tr w:rsidR="006F1DE1" w:rsidTr="006F1DE1">
        <w:tc>
          <w:tcPr>
            <w:tcW w:w="4621" w:type="dxa"/>
          </w:tcPr>
          <w:p w:rsidR="006F1DE1" w:rsidRPr="00B02D76" w:rsidRDefault="00B02D76" w:rsidP="00B02D76">
            <w:pPr>
              <w:rPr>
                <w:rStyle w:val="AERbody"/>
              </w:rPr>
            </w:pPr>
            <w:r w:rsidRPr="00B02D76">
              <w:rPr>
                <w:rStyle w:val="AERbody"/>
              </w:rPr>
              <w:t>Catherine Waddell</w:t>
            </w:r>
          </w:p>
        </w:tc>
        <w:tc>
          <w:tcPr>
            <w:tcW w:w="4621" w:type="dxa"/>
          </w:tcPr>
          <w:p w:rsidR="006F1DE1" w:rsidRPr="00B02D76" w:rsidRDefault="00B02D76" w:rsidP="00B02D76">
            <w:pPr>
              <w:rPr>
                <w:rStyle w:val="AERbody"/>
              </w:rPr>
            </w:pPr>
            <w:r w:rsidRPr="00B02D76">
              <w:rPr>
                <w:rStyle w:val="AERbody"/>
              </w:rPr>
              <w:t>Essential Energy</w:t>
            </w:r>
          </w:p>
        </w:tc>
      </w:tr>
      <w:tr w:rsidR="006F1DE1" w:rsidTr="006F1DE1">
        <w:tc>
          <w:tcPr>
            <w:tcW w:w="4621" w:type="dxa"/>
          </w:tcPr>
          <w:p w:rsidR="006F1DE1" w:rsidRPr="00B02D76" w:rsidRDefault="00B02D76" w:rsidP="00B02D76">
            <w:pPr>
              <w:rPr>
                <w:rStyle w:val="AERbody"/>
              </w:rPr>
            </w:pPr>
            <w:r w:rsidRPr="00B02D76">
              <w:rPr>
                <w:rStyle w:val="AERbody"/>
              </w:rPr>
              <w:t>David Headberry</w:t>
            </w:r>
          </w:p>
        </w:tc>
        <w:tc>
          <w:tcPr>
            <w:tcW w:w="4621" w:type="dxa"/>
          </w:tcPr>
          <w:p w:rsidR="006F1DE1" w:rsidRPr="00B02D76" w:rsidRDefault="00B02D76" w:rsidP="00B02D76">
            <w:pPr>
              <w:rPr>
                <w:rStyle w:val="AERbody"/>
              </w:rPr>
            </w:pPr>
            <w:r w:rsidRPr="00B02D76">
              <w:rPr>
                <w:rStyle w:val="AERbody"/>
              </w:rPr>
              <w:t>Major Energy Users</w:t>
            </w:r>
          </w:p>
        </w:tc>
      </w:tr>
      <w:tr w:rsidR="006F1DE1" w:rsidTr="006F1DE1">
        <w:tc>
          <w:tcPr>
            <w:tcW w:w="4621" w:type="dxa"/>
          </w:tcPr>
          <w:p w:rsidR="006F1DE1" w:rsidRPr="00B02D76" w:rsidRDefault="00B02D76" w:rsidP="00B02D76">
            <w:pPr>
              <w:rPr>
                <w:rStyle w:val="AERbody"/>
              </w:rPr>
            </w:pPr>
            <w:r w:rsidRPr="00B02D76">
              <w:rPr>
                <w:rStyle w:val="AERbody"/>
              </w:rPr>
              <w:t>Mathew Abraham</w:t>
            </w:r>
          </w:p>
        </w:tc>
        <w:tc>
          <w:tcPr>
            <w:tcW w:w="4621" w:type="dxa"/>
          </w:tcPr>
          <w:p w:rsidR="006F1DE1" w:rsidRPr="00B02D76" w:rsidRDefault="00B02D76" w:rsidP="00B02D76">
            <w:pPr>
              <w:rPr>
                <w:rStyle w:val="AERbody"/>
              </w:rPr>
            </w:pPr>
            <w:r w:rsidRPr="00B02D76">
              <w:rPr>
                <w:rStyle w:val="AERbody"/>
              </w:rPr>
              <w:t>United Energy</w:t>
            </w:r>
          </w:p>
        </w:tc>
      </w:tr>
      <w:tr w:rsidR="006F1DE1" w:rsidTr="006F1DE1">
        <w:tc>
          <w:tcPr>
            <w:tcW w:w="4621" w:type="dxa"/>
          </w:tcPr>
          <w:p w:rsidR="006F1DE1" w:rsidRPr="00B02D76" w:rsidRDefault="00B02D76" w:rsidP="00B02D76">
            <w:pPr>
              <w:rPr>
                <w:rStyle w:val="AERbody"/>
              </w:rPr>
            </w:pPr>
            <w:r w:rsidRPr="00B02D76">
              <w:rPr>
                <w:rStyle w:val="AERbody"/>
              </w:rPr>
              <w:t>Bruce Mountain</w:t>
            </w:r>
          </w:p>
        </w:tc>
        <w:tc>
          <w:tcPr>
            <w:tcW w:w="4621" w:type="dxa"/>
          </w:tcPr>
          <w:p w:rsidR="006F1DE1" w:rsidRPr="00B02D76" w:rsidRDefault="00B02D76" w:rsidP="00B02D76">
            <w:pPr>
              <w:rPr>
                <w:rStyle w:val="AERbody"/>
              </w:rPr>
            </w:pPr>
            <w:r w:rsidRPr="00B02D76">
              <w:rPr>
                <w:rStyle w:val="AERbody"/>
              </w:rPr>
              <w:t>CME (for EUAA)</w:t>
            </w:r>
          </w:p>
        </w:tc>
      </w:tr>
      <w:tr w:rsidR="006F1DE1" w:rsidTr="006F1DE1">
        <w:tc>
          <w:tcPr>
            <w:tcW w:w="4621" w:type="dxa"/>
          </w:tcPr>
          <w:p w:rsidR="006F1DE1" w:rsidRPr="00B02D76" w:rsidRDefault="00B02D76" w:rsidP="00B02D76">
            <w:pPr>
              <w:rPr>
                <w:rStyle w:val="AERbody"/>
              </w:rPr>
            </w:pPr>
            <w:r w:rsidRPr="00B02D76">
              <w:rPr>
                <w:rStyle w:val="AERbody"/>
              </w:rPr>
              <w:t>Michael Seddon</w:t>
            </w:r>
          </w:p>
        </w:tc>
        <w:tc>
          <w:tcPr>
            <w:tcW w:w="4621" w:type="dxa"/>
          </w:tcPr>
          <w:p w:rsidR="006F1DE1" w:rsidRPr="00B02D76" w:rsidRDefault="00B02D76" w:rsidP="00B02D76">
            <w:pPr>
              <w:rPr>
                <w:rStyle w:val="AERbody"/>
              </w:rPr>
            </w:pPr>
            <w:r w:rsidRPr="00B02D76">
              <w:rPr>
                <w:rStyle w:val="AERbody"/>
              </w:rPr>
              <w:t>Transend Networks</w:t>
            </w:r>
          </w:p>
        </w:tc>
      </w:tr>
      <w:tr w:rsidR="006F1DE1" w:rsidTr="006F1DE1">
        <w:tc>
          <w:tcPr>
            <w:tcW w:w="4621" w:type="dxa"/>
          </w:tcPr>
          <w:p w:rsidR="006F1DE1" w:rsidRPr="00B02D76" w:rsidRDefault="00B02D76" w:rsidP="00B02D76">
            <w:pPr>
              <w:rPr>
                <w:rStyle w:val="AERbody"/>
              </w:rPr>
            </w:pPr>
            <w:r w:rsidRPr="00B02D76">
              <w:rPr>
                <w:rStyle w:val="AERbody"/>
              </w:rPr>
              <w:t>Bill Jackson</w:t>
            </w:r>
          </w:p>
        </w:tc>
        <w:tc>
          <w:tcPr>
            <w:tcW w:w="4621" w:type="dxa"/>
          </w:tcPr>
          <w:p w:rsidR="006F1DE1" w:rsidRPr="00B02D76" w:rsidRDefault="00B02D76" w:rsidP="00B02D76">
            <w:pPr>
              <w:rPr>
                <w:rStyle w:val="AERbody"/>
              </w:rPr>
            </w:pPr>
            <w:r w:rsidRPr="00B02D76">
              <w:rPr>
                <w:rStyle w:val="AERbody"/>
              </w:rPr>
              <w:t>ElectraNet</w:t>
            </w:r>
          </w:p>
        </w:tc>
      </w:tr>
      <w:tr w:rsidR="006F1DE1" w:rsidTr="006F1DE1">
        <w:tc>
          <w:tcPr>
            <w:tcW w:w="4621" w:type="dxa"/>
          </w:tcPr>
          <w:p w:rsidR="006F1DE1" w:rsidRPr="00B02D76" w:rsidRDefault="00B02D76" w:rsidP="00B02D76">
            <w:pPr>
              <w:rPr>
                <w:rStyle w:val="AERbody"/>
              </w:rPr>
            </w:pPr>
            <w:r w:rsidRPr="00B02D76">
              <w:rPr>
                <w:rStyle w:val="AERbody"/>
              </w:rPr>
              <w:t>Anton Murashev</w:t>
            </w:r>
          </w:p>
        </w:tc>
        <w:tc>
          <w:tcPr>
            <w:tcW w:w="4621" w:type="dxa"/>
          </w:tcPr>
          <w:p w:rsidR="006F1DE1" w:rsidRPr="00B02D76" w:rsidRDefault="00B02D76" w:rsidP="00B02D76">
            <w:pPr>
              <w:rPr>
                <w:rStyle w:val="AERbody"/>
              </w:rPr>
            </w:pPr>
            <w:r w:rsidRPr="00B02D76">
              <w:rPr>
                <w:rStyle w:val="AERbody"/>
              </w:rPr>
              <w:t>Jemena Electricity Networks</w:t>
            </w:r>
          </w:p>
        </w:tc>
      </w:tr>
      <w:tr w:rsidR="006F1DE1" w:rsidTr="006F1DE1">
        <w:tc>
          <w:tcPr>
            <w:tcW w:w="4621" w:type="dxa"/>
          </w:tcPr>
          <w:p w:rsidR="006F1DE1" w:rsidRPr="00B02D76" w:rsidRDefault="00B02D76" w:rsidP="00B02D76">
            <w:pPr>
              <w:rPr>
                <w:rStyle w:val="AERbody"/>
              </w:rPr>
            </w:pPr>
            <w:r w:rsidRPr="00B02D76">
              <w:rPr>
                <w:rStyle w:val="AERbody"/>
              </w:rPr>
              <w:t>Katie Yates</w:t>
            </w:r>
          </w:p>
        </w:tc>
        <w:tc>
          <w:tcPr>
            <w:tcW w:w="4621" w:type="dxa"/>
          </w:tcPr>
          <w:p w:rsidR="006F1DE1" w:rsidRPr="00B02D76" w:rsidRDefault="00B02D76" w:rsidP="00B02D76">
            <w:pPr>
              <w:rPr>
                <w:rStyle w:val="AERbody"/>
              </w:rPr>
            </w:pPr>
            <w:r w:rsidRPr="00B02D76">
              <w:rPr>
                <w:rStyle w:val="AERbody"/>
              </w:rPr>
              <w:t>SP AusNet</w:t>
            </w:r>
          </w:p>
        </w:tc>
      </w:tr>
      <w:tr w:rsidR="006F1DE1" w:rsidTr="006F1DE1">
        <w:tc>
          <w:tcPr>
            <w:tcW w:w="4621" w:type="dxa"/>
          </w:tcPr>
          <w:p w:rsidR="006F1DE1" w:rsidRPr="00B02D76" w:rsidRDefault="00B02D76" w:rsidP="00B02D76">
            <w:pPr>
              <w:rPr>
                <w:rStyle w:val="AERbody"/>
              </w:rPr>
            </w:pPr>
            <w:r w:rsidRPr="00B02D76">
              <w:rPr>
                <w:rStyle w:val="AERbody"/>
              </w:rPr>
              <w:t>Mark Henley</w:t>
            </w:r>
          </w:p>
        </w:tc>
        <w:tc>
          <w:tcPr>
            <w:tcW w:w="4621" w:type="dxa"/>
          </w:tcPr>
          <w:p w:rsidR="006F1DE1" w:rsidRPr="00B02D76" w:rsidRDefault="00B02D76" w:rsidP="00B02D76">
            <w:pPr>
              <w:rPr>
                <w:rStyle w:val="AERbody"/>
              </w:rPr>
            </w:pPr>
            <w:r w:rsidRPr="00B02D76">
              <w:rPr>
                <w:rStyle w:val="AERbody"/>
              </w:rPr>
              <w:t>Uniting Communities</w:t>
            </w:r>
          </w:p>
        </w:tc>
      </w:tr>
      <w:tr w:rsidR="006F1DE1" w:rsidTr="006F1DE1">
        <w:tc>
          <w:tcPr>
            <w:tcW w:w="4621" w:type="dxa"/>
          </w:tcPr>
          <w:p w:rsidR="006F1DE1" w:rsidRPr="00B02D76" w:rsidRDefault="00B02D76" w:rsidP="00B02D76">
            <w:pPr>
              <w:rPr>
                <w:rStyle w:val="AERbody"/>
              </w:rPr>
            </w:pPr>
            <w:r w:rsidRPr="00B02D76">
              <w:rPr>
                <w:rStyle w:val="AERbody"/>
              </w:rPr>
              <w:t>Nicola Roscoe</w:t>
            </w:r>
          </w:p>
        </w:tc>
        <w:tc>
          <w:tcPr>
            <w:tcW w:w="4621" w:type="dxa"/>
          </w:tcPr>
          <w:p w:rsidR="006F1DE1" w:rsidRPr="00B02D76" w:rsidRDefault="00B02D76" w:rsidP="00B02D76">
            <w:pPr>
              <w:rPr>
                <w:rStyle w:val="AERbody"/>
              </w:rPr>
            </w:pPr>
            <w:r w:rsidRPr="00B02D76">
              <w:rPr>
                <w:rStyle w:val="AERbody"/>
              </w:rPr>
              <w:t>Energex</w:t>
            </w:r>
          </w:p>
        </w:tc>
      </w:tr>
      <w:tr w:rsidR="006F1DE1" w:rsidTr="006F1DE1">
        <w:tc>
          <w:tcPr>
            <w:tcW w:w="4621" w:type="dxa"/>
          </w:tcPr>
          <w:p w:rsidR="006F1DE1" w:rsidRPr="00B02D76" w:rsidRDefault="00B02D76" w:rsidP="00B02D76">
            <w:pPr>
              <w:rPr>
                <w:rStyle w:val="AERbody"/>
              </w:rPr>
            </w:pPr>
            <w:r w:rsidRPr="00B02D76">
              <w:rPr>
                <w:rStyle w:val="AERbody"/>
              </w:rPr>
              <w:t>Eric Lindner</w:t>
            </w:r>
          </w:p>
        </w:tc>
        <w:tc>
          <w:tcPr>
            <w:tcW w:w="4621" w:type="dxa"/>
          </w:tcPr>
          <w:p w:rsidR="006F1DE1" w:rsidRPr="00B02D76" w:rsidRDefault="00B02D76" w:rsidP="00B02D76">
            <w:pPr>
              <w:rPr>
                <w:rStyle w:val="AERbody"/>
              </w:rPr>
            </w:pPr>
            <w:r w:rsidRPr="00B02D76">
              <w:rPr>
                <w:rStyle w:val="AERbody"/>
              </w:rPr>
              <w:t>SA Power Networks</w:t>
            </w:r>
          </w:p>
        </w:tc>
      </w:tr>
      <w:tr w:rsidR="006F1DE1" w:rsidTr="006F1DE1">
        <w:tc>
          <w:tcPr>
            <w:tcW w:w="4621" w:type="dxa"/>
          </w:tcPr>
          <w:p w:rsidR="006F1DE1" w:rsidRPr="00B02D76" w:rsidRDefault="00B02D76" w:rsidP="00B02D76">
            <w:pPr>
              <w:rPr>
                <w:rStyle w:val="AERbody"/>
              </w:rPr>
            </w:pPr>
            <w:r w:rsidRPr="00B02D76">
              <w:rPr>
                <w:rStyle w:val="AERbody"/>
              </w:rPr>
              <w:t>Renate Tirpcou</w:t>
            </w:r>
          </w:p>
        </w:tc>
        <w:tc>
          <w:tcPr>
            <w:tcW w:w="4621" w:type="dxa"/>
          </w:tcPr>
          <w:p w:rsidR="006F1DE1" w:rsidRPr="00B02D76" w:rsidRDefault="00B02D76" w:rsidP="00B02D76">
            <w:pPr>
              <w:rPr>
                <w:rStyle w:val="AERbody"/>
              </w:rPr>
            </w:pPr>
            <w:r w:rsidRPr="00B02D76">
              <w:rPr>
                <w:rStyle w:val="AERbody"/>
              </w:rPr>
              <w:t>Citipower/Powercor</w:t>
            </w:r>
          </w:p>
        </w:tc>
      </w:tr>
      <w:tr w:rsidR="006F1DE1" w:rsidTr="006F1DE1">
        <w:tc>
          <w:tcPr>
            <w:tcW w:w="4621" w:type="dxa"/>
          </w:tcPr>
          <w:p w:rsidR="006F1DE1" w:rsidRPr="00B02D76" w:rsidRDefault="00B02D76" w:rsidP="00B02D76">
            <w:pPr>
              <w:rPr>
                <w:rStyle w:val="AERbody"/>
              </w:rPr>
            </w:pPr>
            <w:r w:rsidRPr="00B02D76">
              <w:rPr>
                <w:rStyle w:val="AERbody"/>
              </w:rPr>
              <w:t>Ralph Mignone</w:t>
            </w:r>
          </w:p>
        </w:tc>
        <w:tc>
          <w:tcPr>
            <w:tcW w:w="4621" w:type="dxa"/>
          </w:tcPr>
          <w:p w:rsidR="006F1DE1" w:rsidRPr="00B02D76" w:rsidRDefault="00B02D76" w:rsidP="00B02D76">
            <w:pPr>
              <w:rPr>
                <w:rStyle w:val="AERbody"/>
              </w:rPr>
            </w:pPr>
            <w:r w:rsidRPr="00B02D76">
              <w:rPr>
                <w:rStyle w:val="AERbody"/>
              </w:rPr>
              <w:t>Envestra</w:t>
            </w:r>
          </w:p>
        </w:tc>
      </w:tr>
      <w:tr w:rsidR="006F1DE1" w:rsidTr="006F1DE1">
        <w:tc>
          <w:tcPr>
            <w:tcW w:w="4621" w:type="dxa"/>
          </w:tcPr>
          <w:p w:rsidR="006F1DE1" w:rsidRPr="00B02D76" w:rsidRDefault="00B02D76" w:rsidP="00B02D76">
            <w:pPr>
              <w:rPr>
                <w:rStyle w:val="AERbody"/>
              </w:rPr>
            </w:pPr>
            <w:r w:rsidRPr="00B02D76">
              <w:rPr>
                <w:rStyle w:val="AERbody"/>
              </w:rPr>
              <w:t>Chris Pattas</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Israel del Mundo</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Matthew Simpson</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Anthony Seipolt</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Esmond Smith</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Paul Dunn</w:t>
            </w:r>
          </w:p>
        </w:tc>
        <w:tc>
          <w:tcPr>
            <w:tcW w:w="4621" w:type="dxa"/>
          </w:tcPr>
          <w:p w:rsidR="006F1DE1" w:rsidRPr="00B02D76" w:rsidRDefault="00B02D76" w:rsidP="00B02D76">
            <w:pPr>
              <w:rPr>
                <w:rStyle w:val="AERbody"/>
              </w:rPr>
            </w:pPr>
            <w:r w:rsidRPr="00B02D76">
              <w:rPr>
                <w:rStyle w:val="AERbody"/>
              </w:rPr>
              <w:t>AER</w:t>
            </w:r>
          </w:p>
        </w:tc>
      </w:tr>
      <w:tr w:rsidR="006F1DE1" w:rsidTr="006F1DE1">
        <w:tc>
          <w:tcPr>
            <w:tcW w:w="4621" w:type="dxa"/>
          </w:tcPr>
          <w:p w:rsidR="006F1DE1" w:rsidRPr="00B02D76" w:rsidRDefault="00B02D76" w:rsidP="00B02D76">
            <w:pPr>
              <w:rPr>
                <w:rStyle w:val="AERbody"/>
              </w:rPr>
            </w:pPr>
            <w:r w:rsidRPr="00B02D76">
              <w:rPr>
                <w:rStyle w:val="AERbody"/>
              </w:rPr>
              <w:t>Lawrence Irlam</w:t>
            </w:r>
          </w:p>
        </w:tc>
        <w:tc>
          <w:tcPr>
            <w:tcW w:w="4621" w:type="dxa"/>
          </w:tcPr>
          <w:p w:rsidR="006F1DE1" w:rsidRPr="00B02D76" w:rsidRDefault="00B02D76" w:rsidP="00B02D76">
            <w:pPr>
              <w:rPr>
                <w:rStyle w:val="AERbody"/>
              </w:rPr>
            </w:pPr>
            <w:r w:rsidRPr="00B02D76">
              <w:rPr>
                <w:rStyle w:val="AERbody"/>
              </w:rPr>
              <w:t>AER</w:t>
            </w:r>
          </w:p>
        </w:tc>
      </w:tr>
    </w:tbl>
    <w:p w:rsidR="00CE1BD5" w:rsidRDefault="00CE1BD5" w:rsidP="006F1DE1">
      <w:pPr>
        <w:pStyle w:val="AERtitle1"/>
        <w:rPr>
          <w:sz w:val="36"/>
          <w:szCs w:val="36"/>
        </w:rPr>
      </w:pPr>
    </w:p>
    <w:p w:rsidR="00CE1BD5" w:rsidRDefault="00CE1BD5" w:rsidP="00CE1BD5">
      <w:pPr>
        <w:pStyle w:val="AERtitle1"/>
        <w:jc w:val="left"/>
        <w:rPr>
          <w:sz w:val="36"/>
          <w:szCs w:val="36"/>
        </w:rPr>
      </w:pPr>
    </w:p>
    <w:p w:rsidR="00CE1BD5" w:rsidRPr="00B02D76" w:rsidRDefault="00CE1BD5" w:rsidP="00CE1BD5">
      <w:pPr>
        <w:pStyle w:val="Heading3"/>
      </w:pPr>
      <w:r>
        <w:lastRenderedPageBreak/>
        <w:t>Sydney</w:t>
      </w:r>
      <w:r w:rsidRPr="00B02D76">
        <w:t xml:space="preserve"> office</w:t>
      </w:r>
    </w:p>
    <w:tbl>
      <w:tblPr>
        <w:tblStyle w:val="TableGrid"/>
        <w:tblW w:w="0" w:type="auto"/>
        <w:tblLook w:val="04A0"/>
      </w:tblPr>
      <w:tblGrid>
        <w:gridCol w:w="4621"/>
        <w:gridCol w:w="4621"/>
      </w:tblGrid>
      <w:tr w:rsidR="00CE1BD5" w:rsidTr="00E44526">
        <w:tc>
          <w:tcPr>
            <w:tcW w:w="4621" w:type="dxa"/>
          </w:tcPr>
          <w:p w:rsidR="00CE1BD5" w:rsidRPr="00B02D76" w:rsidRDefault="00CE1BD5" w:rsidP="00E44526">
            <w:pPr>
              <w:rPr>
                <w:rStyle w:val="AERtextbolditalics"/>
              </w:rPr>
            </w:pPr>
            <w:r w:rsidRPr="00B02D76">
              <w:rPr>
                <w:rStyle w:val="AERtextbolditalics"/>
              </w:rPr>
              <w:t>Name</w:t>
            </w:r>
          </w:p>
        </w:tc>
        <w:tc>
          <w:tcPr>
            <w:tcW w:w="4621" w:type="dxa"/>
          </w:tcPr>
          <w:p w:rsidR="00CE1BD5" w:rsidRPr="00B02D76" w:rsidRDefault="00CE1BD5" w:rsidP="00E44526">
            <w:pPr>
              <w:rPr>
                <w:rStyle w:val="AERtextbolditalics"/>
              </w:rPr>
            </w:pPr>
            <w:r w:rsidRPr="00B02D76">
              <w:rPr>
                <w:rStyle w:val="AERtextbolditalics"/>
              </w:rPr>
              <w:t>Organisation</w:t>
            </w:r>
          </w:p>
        </w:tc>
      </w:tr>
      <w:tr w:rsidR="00CE1BD5" w:rsidTr="00E44526">
        <w:tc>
          <w:tcPr>
            <w:tcW w:w="4621" w:type="dxa"/>
          </w:tcPr>
          <w:p w:rsidR="00CE1BD5" w:rsidRPr="00B02D76" w:rsidRDefault="00CE1BD5" w:rsidP="00E44526">
            <w:pPr>
              <w:rPr>
                <w:rStyle w:val="AERbody"/>
              </w:rPr>
            </w:pPr>
            <w:r>
              <w:rPr>
                <w:rStyle w:val="AERbody"/>
              </w:rPr>
              <w:t>Andrew Kingsmill</w:t>
            </w:r>
          </w:p>
        </w:tc>
        <w:tc>
          <w:tcPr>
            <w:tcW w:w="4621" w:type="dxa"/>
          </w:tcPr>
          <w:p w:rsidR="00CE1BD5" w:rsidRPr="00B02D76" w:rsidRDefault="00CE1BD5" w:rsidP="00E44526">
            <w:pPr>
              <w:rPr>
                <w:rStyle w:val="AERbody"/>
              </w:rPr>
            </w:pPr>
            <w:r>
              <w:rPr>
                <w:rStyle w:val="AERbody"/>
              </w:rPr>
              <w:t>TransGrid</w:t>
            </w:r>
          </w:p>
        </w:tc>
      </w:tr>
      <w:tr w:rsidR="00CE1BD5" w:rsidTr="00E44526">
        <w:tc>
          <w:tcPr>
            <w:tcW w:w="4621" w:type="dxa"/>
          </w:tcPr>
          <w:p w:rsidR="00CE1BD5" w:rsidRPr="00B02D76" w:rsidRDefault="00CE1BD5" w:rsidP="00E44526">
            <w:pPr>
              <w:rPr>
                <w:rStyle w:val="AERbody"/>
              </w:rPr>
            </w:pPr>
            <w:r>
              <w:rPr>
                <w:rStyle w:val="AERbody"/>
              </w:rPr>
              <w:t>Rick Wall</w:t>
            </w:r>
            <w:r w:rsidR="00A4036B">
              <w:rPr>
                <w:rStyle w:val="AERbody"/>
              </w:rPr>
              <w:t>a</w:t>
            </w:r>
            <w:r>
              <w:rPr>
                <w:rStyle w:val="AERbody"/>
              </w:rPr>
              <w:t>ce</w:t>
            </w:r>
          </w:p>
        </w:tc>
        <w:tc>
          <w:tcPr>
            <w:tcW w:w="4621" w:type="dxa"/>
          </w:tcPr>
          <w:p w:rsidR="00CE1BD5" w:rsidRPr="00B02D76" w:rsidRDefault="00CE1BD5" w:rsidP="00E44526">
            <w:pPr>
              <w:rPr>
                <w:rStyle w:val="AERbody"/>
              </w:rPr>
            </w:pPr>
            <w:r>
              <w:rPr>
                <w:rStyle w:val="AERbody"/>
              </w:rPr>
              <w:t>Endeavour Energy</w:t>
            </w:r>
          </w:p>
        </w:tc>
      </w:tr>
      <w:tr w:rsidR="00CE1BD5" w:rsidTr="00E44526">
        <w:tc>
          <w:tcPr>
            <w:tcW w:w="4621" w:type="dxa"/>
          </w:tcPr>
          <w:p w:rsidR="00CE1BD5" w:rsidRPr="00B02D76" w:rsidRDefault="00CE1BD5" w:rsidP="00E44526">
            <w:pPr>
              <w:rPr>
                <w:rStyle w:val="AERbody"/>
              </w:rPr>
            </w:pPr>
            <w:r>
              <w:rPr>
                <w:rStyle w:val="AERbody"/>
              </w:rPr>
              <w:t>Ed King</w:t>
            </w:r>
          </w:p>
        </w:tc>
        <w:tc>
          <w:tcPr>
            <w:tcW w:w="4621" w:type="dxa"/>
          </w:tcPr>
          <w:p w:rsidR="00CE1BD5" w:rsidRPr="00B02D76" w:rsidRDefault="00CE1BD5" w:rsidP="00E44526">
            <w:pPr>
              <w:rPr>
                <w:rStyle w:val="AERbody"/>
              </w:rPr>
            </w:pPr>
            <w:r>
              <w:rPr>
                <w:rStyle w:val="AERbody"/>
              </w:rPr>
              <w:t>Ausgrid</w:t>
            </w:r>
          </w:p>
        </w:tc>
      </w:tr>
      <w:tr w:rsidR="00CE1BD5" w:rsidTr="00E44526">
        <w:tc>
          <w:tcPr>
            <w:tcW w:w="4621" w:type="dxa"/>
          </w:tcPr>
          <w:p w:rsidR="00CE1BD5" w:rsidRPr="00B02D76" w:rsidRDefault="00CE1BD5" w:rsidP="00E44526">
            <w:pPr>
              <w:rPr>
                <w:rStyle w:val="AERbody"/>
              </w:rPr>
            </w:pPr>
            <w:r>
              <w:rPr>
                <w:rStyle w:val="AERbody"/>
              </w:rPr>
              <w:t>Matt Le Cornu</w:t>
            </w:r>
          </w:p>
        </w:tc>
        <w:tc>
          <w:tcPr>
            <w:tcW w:w="4621" w:type="dxa"/>
          </w:tcPr>
          <w:p w:rsidR="00CE1BD5" w:rsidRPr="00B02D76" w:rsidRDefault="00CE1BD5" w:rsidP="00E44526">
            <w:pPr>
              <w:rPr>
                <w:rStyle w:val="AERbody"/>
              </w:rPr>
            </w:pPr>
            <w:r>
              <w:rPr>
                <w:rStyle w:val="AERbody"/>
              </w:rPr>
              <w:t>AER</w:t>
            </w:r>
          </w:p>
        </w:tc>
      </w:tr>
      <w:bookmarkEnd w:id="0"/>
      <w:bookmarkEnd w:id="1"/>
    </w:tbl>
    <w:p w:rsidR="002A0A5F" w:rsidRDefault="002A0A5F" w:rsidP="00CE1BD5">
      <w:pPr>
        <w:jc w:val="center"/>
      </w:pPr>
    </w:p>
    <w:sectPr w:rsidR="002A0A5F" w:rsidSect="00913F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1C" w:rsidRDefault="001A3C1C" w:rsidP="0025069A">
      <w:pPr>
        <w:spacing w:after="0" w:line="240" w:lineRule="auto"/>
      </w:pPr>
      <w:r>
        <w:separator/>
      </w:r>
    </w:p>
  </w:endnote>
  <w:endnote w:type="continuationSeparator" w:id="0">
    <w:p w:rsidR="001A3C1C" w:rsidRDefault="001A3C1C" w:rsidP="00250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5" w:rsidRDefault="009708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9A" w:rsidRDefault="00703282">
    <w:pPr>
      <w:pStyle w:val="Footer"/>
      <w:jc w:val="right"/>
    </w:pPr>
    <w:fldSimple w:instr=" PAGE   \* MERGEFORMAT ">
      <w:r w:rsidR="00EA57FB">
        <w:rPr>
          <w:noProof/>
        </w:rPr>
        <w:t>1</w:t>
      </w:r>
    </w:fldSimple>
  </w:p>
  <w:p w:rsidR="0025069A" w:rsidRDefault="00250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5" w:rsidRDefault="00970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1C" w:rsidRDefault="001A3C1C" w:rsidP="0025069A">
      <w:pPr>
        <w:spacing w:after="0" w:line="240" w:lineRule="auto"/>
      </w:pPr>
      <w:r>
        <w:separator/>
      </w:r>
    </w:p>
  </w:footnote>
  <w:footnote w:type="continuationSeparator" w:id="0">
    <w:p w:rsidR="001A3C1C" w:rsidRDefault="001A3C1C" w:rsidP="00250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5" w:rsidRDefault="009708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5" w:rsidRDefault="009708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75" w:rsidRDefault="009708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7C7E60"/>
    <w:lvl w:ilvl="0">
      <w:start w:val="1"/>
      <w:numFmt w:val="decimal"/>
      <w:lvlText w:val="%1."/>
      <w:lvlJc w:val="left"/>
      <w:pPr>
        <w:tabs>
          <w:tab w:val="num" w:pos="1492"/>
        </w:tabs>
        <w:ind w:left="1492" w:hanging="360"/>
      </w:pPr>
    </w:lvl>
  </w:abstractNum>
  <w:abstractNum w:abstractNumId="1">
    <w:nsid w:val="FFFFFF7D"/>
    <w:multiLevelType w:val="singleLevel"/>
    <w:tmpl w:val="E3EED488"/>
    <w:lvl w:ilvl="0">
      <w:start w:val="1"/>
      <w:numFmt w:val="decimal"/>
      <w:lvlText w:val="%1."/>
      <w:lvlJc w:val="left"/>
      <w:pPr>
        <w:tabs>
          <w:tab w:val="num" w:pos="1209"/>
        </w:tabs>
        <w:ind w:left="1209" w:hanging="360"/>
      </w:pPr>
    </w:lvl>
  </w:abstractNum>
  <w:abstractNum w:abstractNumId="2">
    <w:nsid w:val="FFFFFF7E"/>
    <w:multiLevelType w:val="singleLevel"/>
    <w:tmpl w:val="344A72B2"/>
    <w:lvl w:ilvl="0">
      <w:start w:val="1"/>
      <w:numFmt w:val="decimal"/>
      <w:lvlText w:val="%1."/>
      <w:lvlJc w:val="left"/>
      <w:pPr>
        <w:tabs>
          <w:tab w:val="num" w:pos="926"/>
        </w:tabs>
        <w:ind w:left="926" w:hanging="360"/>
      </w:pPr>
    </w:lvl>
  </w:abstractNum>
  <w:abstractNum w:abstractNumId="3">
    <w:nsid w:val="FFFFFF7F"/>
    <w:multiLevelType w:val="singleLevel"/>
    <w:tmpl w:val="638EB95E"/>
    <w:lvl w:ilvl="0">
      <w:start w:val="1"/>
      <w:numFmt w:val="decimal"/>
      <w:lvlText w:val="%1."/>
      <w:lvlJc w:val="left"/>
      <w:pPr>
        <w:tabs>
          <w:tab w:val="num" w:pos="643"/>
        </w:tabs>
        <w:ind w:left="643" w:hanging="360"/>
      </w:pPr>
    </w:lvl>
  </w:abstractNum>
  <w:abstractNum w:abstractNumId="4">
    <w:nsid w:val="FFFFFF80"/>
    <w:multiLevelType w:val="singleLevel"/>
    <w:tmpl w:val="7CD45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03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47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6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9CC2F4"/>
    <w:lvl w:ilvl="0">
      <w:start w:val="1"/>
      <w:numFmt w:val="decimal"/>
      <w:lvlText w:val="%1."/>
      <w:lvlJc w:val="left"/>
      <w:pPr>
        <w:tabs>
          <w:tab w:val="num" w:pos="360"/>
        </w:tabs>
        <w:ind w:left="360" w:hanging="360"/>
      </w:pPr>
    </w:lvl>
  </w:abstractNum>
  <w:abstractNum w:abstractNumId="9">
    <w:nsid w:val="FFFFFF89"/>
    <w:multiLevelType w:val="singleLevel"/>
    <w:tmpl w:val="33C21854"/>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A5575B"/>
    <w:multiLevelType w:val="hybridMultilevel"/>
    <w:tmpl w:val="2BEA19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tpits\Local Settings\Temporary Internet Files\Content.Outlook\WG0MAYLY\D13 33806V3  AER stakeholder workshop - Expenditure forecast assessment guidelines - 28 February 2013.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72CB"/>
    <w:rsid w:val="000673FA"/>
    <w:rsid w:val="00070571"/>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D02"/>
    <w:rsid w:val="00142487"/>
    <w:rsid w:val="00143859"/>
    <w:rsid w:val="001444EF"/>
    <w:rsid w:val="0014516B"/>
    <w:rsid w:val="00150BC9"/>
    <w:rsid w:val="00152401"/>
    <w:rsid w:val="0015473B"/>
    <w:rsid w:val="00155FEE"/>
    <w:rsid w:val="00156726"/>
    <w:rsid w:val="001579F7"/>
    <w:rsid w:val="00160DF6"/>
    <w:rsid w:val="00162D40"/>
    <w:rsid w:val="00163346"/>
    <w:rsid w:val="00163389"/>
    <w:rsid w:val="00164484"/>
    <w:rsid w:val="00164557"/>
    <w:rsid w:val="00164B3C"/>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39F0"/>
    <w:rsid w:val="00283EDE"/>
    <w:rsid w:val="00286521"/>
    <w:rsid w:val="00286F35"/>
    <w:rsid w:val="00287DA8"/>
    <w:rsid w:val="00290046"/>
    <w:rsid w:val="00293A7B"/>
    <w:rsid w:val="002948FB"/>
    <w:rsid w:val="002A0A5F"/>
    <w:rsid w:val="002A24E3"/>
    <w:rsid w:val="002A33FB"/>
    <w:rsid w:val="002B1FE8"/>
    <w:rsid w:val="002B297A"/>
    <w:rsid w:val="002B396E"/>
    <w:rsid w:val="002B7D5A"/>
    <w:rsid w:val="002B7D88"/>
    <w:rsid w:val="002C0580"/>
    <w:rsid w:val="002C3E22"/>
    <w:rsid w:val="002C5319"/>
    <w:rsid w:val="002C5D03"/>
    <w:rsid w:val="002D06A4"/>
    <w:rsid w:val="002D168F"/>
    <w:rsid w:val="002D31E1"/>
    <w:rsid w:val="002D5D9A"/>
    <w:rsid w:val="002E1C37"/>
    <w:rsid w:val="002E31A5"/>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2E31"/>
    <w:rsid w:val="003C466E"/>
    <w:rsid w:val="003C4A68"/>
    <w:rsid w:val="003C5F89"/>
    <w:rsid w:val="003C76F2"/>
    <w:rsid w:val="003D1F0D"/>
    <w:rsid w:val="003D249E"/>
    <w:rsid w:val="003D267C"/>
    <w:rsid w:val="003D7B82"/>
    <w:rsid w:val="003E18A4"/>
    <w:rsid w:val="003E1BA9"/>
    <w:rsid w:val="003E6799"/>
    <w:rsid w:val="003E7081"/>
    <w:rsid w:val="003F06C2"/>
    <w:rsid w:val="003F09A4"/>
    <w:rsid w:val="003F5B30"/>
    <w:rsid w:val="003F6A27"/>
    <w:rsid w:val="00403604"/>
    <w:rsid w:val="00403D42"/>
    <w:rsid w:val="0040677B"/>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C99"/>
    <w:rsid w:val="0046763A"/>
    <w:rsid w:val="0047028E"/>
    <w:rsid w:val="004712A6"/>
    <w:rsid w:val="004749E0"/>
    <w:rsid w:val="004752FF"/>
    <w:rsid w:val="00476E07"/>
    <w:rsid w:val="00481F91"/>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4BDC"/>
    <w:rsid w:val="00576C14"/>
    <w:rsid w:val="00577175"/>
    <w:rsid w:val="005779CE"/>
    <w:rsid w:val="00580646"/>
    <w:rsid w:val="00580D28"/>
    <w:rsid w:val="005832A3"/>
    <w:rsid w:val="0058359A"/>
    <w:rsid w:val="00583D3E"/>
    <w:rsid w:val="00584A34"/>
    <w:rsid w:val="00587888"/>
    <w:rsid w:val="00587B21"/>
    <w:rsid w:val="0059044D"/>
    <w:rsid w:val="005931F7"/>
    <w:rsid w:val="00595326"/>
    <w:rsid w:val="00596F41"/>
    <w:rsid w:val="00597643"/>
    <w:rsid w:val="0059775D"/>
    <w:rsid w:val="005A1482"/>
    <w:rsid w:val="005A509B"/>
    <w:rsid w:val="005A61B1"/>
    <w:rsid w:val="005A68FF"/>
    <w:rsid w:val="005A754A"/>
    <w:rsid w:val="005B2C6F"/>
    <w:rsid w:val="005B30E6"/>
    <w:rsid w:val="005B66BE"/>
    <w:rsid w:val="005B670F"/>
    <w:rsid w:val="005C4EC2"/>
    <w:rsid w:val="005C52AA"/>
    <w:rsid w:val="005C6574"/>
    <w:rsid w:val="005C750D"/>
    <w:rsid w:val="005D1985"/>
    <w:rsid w:val="005D1A14"/>
    <w:rsid w:val="005D3B65"/>
    <w:rsid w:val="005D4F6F"/>
    <w:rsid w:val="005D63E5"/>
    <w:rsid w:val="005D643D"/>
    <w:rsid w:val="005D77C2"/>
    <w:rsid w:val="005E00EA"/>
    <w:rsid w:val="005E11E4"/>
    <w:rsid w:val="005E2A67"/>
    <w:rsid w:val="005E61F8"/>
    <w:rsid w:val="005F12DA"/>
    <w:rsid w:val="005F1481"/>
    <w:rsid w:val="005F7969"/>
    <w:rsid w:val="0060022A"/>
    <w:rsid w:val="006029CF"/>
    <w:rsid w:val="00603D70"/>
    <w:rsid w:val="00603EBF"/>
    <w:rsid w:val="00603F56"/>
    <w:rsid w:val="0060482A"/>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C07"/>
    <w:rsid w:val="006D5538"/>
    <w:rsid w:val="006D67D7"/>
    <w:rsid w:val="006D6D82"/>
    <w:rsid w:val="006E0B37"/>
    <w:rsid w:val="006E0E3A"/>
    <w:rsid w:val="006E187A"/>
    <w:rsid w:val="006E1F1F"/>
    <w:rsid w:val="006E2778"/>
    <w:rsid w:val="006E68D8"/>
    <w:rsid w:val="006E7BE7"/>
    <w:rsid w:val="006E7E5E"/>
    <w:rsid w:val="006F1DE1"/>
    <w:rsid w:val="006F22F7"/>
    <w:rsid w:val="006F3971"/>
    <w:rsid w:val="006F6CC2"/>
    <w:rsid w:val="006F7142"/>
    <w:rsid w:val="00701215"/>
    <w:rsid w:val="00701927"/>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5C25"/>
    <w:rsid w:val="00791824"/>
    <w:rsid w:val="0079222A"/>
    <w:rsid w:val="00792529"/>
    <w:rsid w:val="00793042"/>
    <w:rsid w:val="00793B23"/>
    <w:rsid w:val="00794708"/>
    <w:rsid w:val="0079485E"/>
    <w:rsid w:val="00794B0E"/>
    <w:rsid w:val="007961AE"/>
    <w:rsid w:val="007A1F8F"/>
    <w:rsid w:val="007A20D2"/>
    <w:rsid w:val="007A4E43"/>
    <w:rsid w:val="007A5582"/>
    <w:rsid w:val="007A7DDA"/>
    <w:rsid w:val="007B0035"/>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E06F7"/>
    <w:rsid w:val="007E0A27"/>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1439"/>
    <w:rsid w:val="008D2034"/>
    <w:rsid w:val="008D2C1E"/>
    <w:rsid w:val="008D3DA7"/>
    <w:rsid w:val="008D5997"/>
    <w:rsid w:val="008D6E1A"/>
    <w:rsid w:val="008D73D6"/>
    <w:rsid w:val="008E0126"/>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62B1"/>
    <w:rsid w:val="0091662E"/>
    <w:rsid w:val="0091663B"/>
    <w:rsid w:val="009166DD"/>
    <w:rsid w:val="00916CE1"/>
    <w:rsid w:val="009231C3"/>
    <w:rsid w:val="00924396"/>
    <w:rsid w:val="00924B42"/>
    <w:rsid w:val="009264FC"/>
    <w:rsid w:val="00932E40"/>
    <w:rsid w:val="009330A8"/>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7022"/>
    <w:rsid w:val="00A27AED"/>
    <w:rsid w:val="00A27DE5"/>
    <w:rsid w:val="00A30034"/>
    <w:rsid w:val="00A35400"/>
    <w:rsid w:val="00A367BB"/>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206E"/>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DB7"/>
    <w:rsid w:val="00B200EB"/>
    <w:rsid w:val="00B20BA2"/>
    <w:rsid w:val="00B21829"/>
    <w:rsid w:val="00B2225A"/>
    <w:rsid w:val="00B2367C"/>
    <w:rsid w:val="00B30B24"/>
    <w:rsid w:val="00B37CD4"/>
    <w:rsid w:val="00B43EEE"/>
    <w:rsid w:val="00B442FD"/>
    <w:rsid w:val="00B45843"/>
    <w:rsid w:val="00B458E8"/>
    <w:rsid w:val="00B45B4B"/>
    <w:rsid w:val="00B469AA"/>
    <w:rsid w:val="00B469DA"/>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E64"/>
    <w:rsid w:val="00B74CC4"/>
    <w:rsid w:val="00B751AC"/>
    <w:rsid w:val="00B813F7"/>
    <w:rsid w:val="00B8162E"/>
    <w:rsid w:val="00B83BD3"/>
    <w:rsid w:val="00B8411A"/>
    <w:rsid w:val="00B84236"/>
    <w:rsid w:val="00B87202"/>
    <w:rsid w:val="00B92EEF"/>
    <w:rsid w:val="00B9498D"/>
    <w:rsid w:val="00B95539"/>
    <w:rsid w:val="00B95D5C"/>
    <w:rsid w:val="00BA0703"/>
    <w:rsid w:val="00BA1EEA"/>
    <w:rsid w:val="00BA1F3F"/>
    <w:rsid w:val="00BA5197"/>
    <w:rsid w:val="00BA7DC9"/>
    <w:rsid w:val="00BA7F59"/>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D37"/>
    <w:rsid w:val="00BE77A0"/>
    <w:rsid w:val="00BF00D1"/>
    <w:rsid w:val="00BF1443"/>
    <w:rsid w:val="00BF218B"/>
    <w:rsid w:val="00BF5693"/>
    <w:rsid w:val="00BF6B30"/>
    <w:rsid w:val="00C0094D"/>
    <w:rsid w:val="00C01074"/>
    <w:rsid w:val="00C013C1"/>
    <w:rsid w:val="00C04709"/>
    <w:rsid w:val="00C1155C"/>
    <w:rsid w:val="00C11F23"/>
    <w:rsid w:val="00C131F4"/>
    <w:rsid w:val="00C1359A"/>
    <w:rsid w:val="00C14011"/>
    <w:rsid w:val="00C168DF"/>
    <w:rsid w:val="00C17131"/>
    <w:rsid w:val="00C17C5B"/>
    <w:rsid w:val="00C223A6"/>
    <w:rsid w:val="00C225DA"/>
    <w:rsid w:val="00C246B2"/>
    <w:rsid w:val="00C26AEC"/>
    <w:rsid w:val="00C3143C"/>
    <w:rsid w:val="00C31874"/>
    <w:rsid w:val="00C32831"/>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2B97"/>
    <w:rsid w:val="00DC44DA"/>
    <w:rsid w:val="00DC4B28"/>
    <w:rsid w:val="00DC4EC1"/>
    <w:rsid w:val="00DC5128"/>
    <w:rsid w:val="00DC5214"/>
    <w:rsid w:val="00DC6637"/>
    <w:rsid w:val="00DC7074"/>
    <w:rsid w:val="00DC740A"/>
    <w:rsid w:val="00DD0114"/>
    <w:rsid w:val="00DD0B94"/>
    <w:rsid w:val="00DD4BE5"/>
    <w:rsid w:val="00DD5971"/>
    <w:rsid w:val="00DD645D"/>
    <w:rsid w:val="00DD7008"/>
    <w:rsid w:val="00DE2A29"/>
    <w:rsid w:val="00DE2A35"/>
    <w:rsid w:val="00DE4EA1"/>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AC6"/>
    <w:rsid w:val="00E81872"/>
    <w:rsid w:val="00E8311C"/>
    <w:rsid w:val="00E87731"/>
    <w:rsid w:val="00E92121"/>
    <w:rsid w:val="00E92125"/>
    <w:rsid w:val="00E94892"/>
    <w:rsid w:val="00E96099"/>
    <w:rsid w:val="00E965BD"/>
    <w:rsid w:val="00EA0092"/>
    <w:rsid w:val="00EA0AF0"/>
    <w:rsid w:val="00EA15E6"/>
    <w:rsid w:val="00EA1DAD"/>
    <w:rsid w:val="00EA35E1"/>
    <w:rsid w:val="00EA3DD8"/>
    <w:rsid w:val="00EA57FB"/>
    <w:rsid w:val="00EA6513"/>
    <w:rsid w:val="00EA7AD3"/>
    <w:rsid w:val="00EB0F90"/>
    <w:rsid w:val="00EB14F9"/>
    <w:rsid w:val="00EB15FC"/>
    <w:rsid w:val="00EB4474"/>
    <w:rsid w:val="00EB459D"/>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7FF6"/>
    <w:rsid w:val="00FC1427"/>
    <w:rsid w:val="00FC179E"/>
    <w:rsid w:val="00FC185F"/>
    <w:rsid w:val="00FC243A"/>
    <w:rsid w:val="00FC3973"/>
    <w:rsid w:val="00FC3C0A"/>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A6D"/>
    <w:rsid w:val="00FF203E"/>
    <w:rsid w:val="00FF20E9"/>
    <w:rsid w:val="00FF3EA1"/>
    <w:rsid w:val="00FF4AF8"/>
    <w:rsid w:val="00FF5585"/>
    <w:rsid w:val="00FF5A42"/>
    <w:rsid w:val="00FF5DD3"/>
    <w:rsid w:val="00FF661C"/>
    <w:rsid w:val="00FF6983"/>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sz w:val="22"/>
      <w:szCs w:val="22"/>
      <w:lang w:eastAsia="en-US"/>
    </w:rPr>
  </w:style>
  <w:style w:type="paragraph" w:styleId="Heading1">
    <w:name w:val="heading 1"/>
    <w:basedOn w:val="Normal"/>
    <w:next w:val="Normal"/>
    <w:link w:val="Heading1Char"/>
    <w:uiPriority w:val="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E1BD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A"/>
    <w:rPr>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unhideWhenUsed/>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05"/>
    <w:rPr>
      <w:rFonts w:ascii="Tahoma" w:hAnsi="Tahoma" w:cs="Tahoma"/>
      <w:sz w:val="16"/>
      <w:szCs w:val="16"/>
    </w:rPr>
  </w:style>
  <w:style w:type="character" w:styleId="CommentReference">
    <w:name w:val="annotation reference"/>
    <w:basedOn w:val="DefaultParagraphFont"/>
    <w:uiPriority w:val="99"/>
    <w:semiHidden/>
    <w:unhideWhenUsed/>
    <w:rsid w:val="00BD01D8"/>
    <w:rPr>
      <w:sz w:val="16"/>
      <w:szCs w:val="16"/>
    </w:rPr>
  </w:style>
  <w:style w:type="paragraph" w:styleId="CommentText">
    <w:name w:val="annotation text"/>
    <w:basedOn w:val="Normal"/>
    <w:link w:val="CommentTextChar"/>
    <w:uiPriority w:val="99"/>
    <w:semiHidden/>
    <w:unhideWhenUsed/>
    <w:rsid w:val="00BD01D8"/>
    <w:rPr>
      <w:sz w:val="20"/>
      <w:szCs w:val="20"/>
    </w:rPr>
  </w:style>
  <w:style w:type="character" w:customStyle="1" w:styleId="CommentTextChar">
    <w:name w:val="Comment Text Char"/>
    <w:basedOn w:val="DefaultParagraphFont"/>
    <w:link w:val="CommentText"/>
    <w:uiPriority w:val="99"/>
    <w:semiHidden/>
    <w:rsid w:val="00BD01D8"/>
    <w:rPr>
      <w:lang w:eastAsia="en-US"/>
    </w:rPr>
  </w:style>
  <w:style w:type="paragraph" w:styleId="CommentSubject">
    <w:name w:val="annotation subject"/>
    <w:basedOn w:val="CommentText"/>
    <w:next w:val="CommentText"/>
    <w:link w:val="CommentSubjectChar"/>
    <w:uiPriority w:val="99"/>
    <w:semiHidden/>
    <w:unhideWhenUsed/>
    <w:rsid w:val="00BD01D8"/>
    <w:rPr>
      <w:b/>
      <w:bCs/>
    </w:rPr>
  </w:style>
  <w:style w:type="character" w:customStyle="1" w:styleId="CommentSubjectChar">
    <w:name w:val="Comment Subject Char"/>
    <w:basedOn w:val="CommentTextChar"/>
    <w:link w:val="CommentSubject"/>
    <w:uiPriority w:val="99"/>
    <w:semiHidden/>
    <w:rsid w:val="00BD01D8"/>
    <w:rPr>
      <w:b/>
      <w:bCs/>
    </w:rPr>
  </w:style>
  <w:style w:type="character" w:customStyle="1" w:styleId="AERbody">
    <w:name w:val="AER body"/>
    <w:basedOn w:val="DefaultParagraphFont"/>
    <w:qFormat/>
    <w:rsid w:val="006C50AD"/>
    <w:rPr>
      <w:rFonts w:ascii="Gautami" w:hAnsi="Gautami"/>
      <w:color w:val="auto"/>
      <w:sz w:val="20"/>
    </w:rPr>
  </w:style>
  <w:style w:type="paragraph" w:customStyle="1" w:styleId="AERbodytext">
    <w:name w:val="AER body text"/>
    <w:qFormat/>
    <w:rsid w:val="006C50AD"/>
    <w:pPr>
      <w:numPr>
        <w:numId w:val="11"/>
      </w:numPr>
      <w:spacing w:after="240" w:line="288" w:lineRule="auto"/>
      <w:jc w:val="both"/>
    </w:pPr>
    <w:rPr>
      <w:rFonts w:ascii="Gautami" w:eastAsia="Times New Roman" w:hAnsi="Gautami"/>
      <w:szCs w:val="24"/>
      <w:lang w:eastAsia="en-US"/>
    </w:rPr>
  </w:style>
  <w:style w:type="paragraph" w:customStyle="1" w:styleId="AERbulletlistsecondstyle">
    <w:name w:val="AER bullet list (second style)"/>
    <w:basedOn w:val="AERbodytext"/>
    <w:qFormat/>
    <w:rsid w:val="006C50AD"/>
    <w:pPr>
      <w:numPr>
        <w:numId w:val="9"/>
      </w:numPr>
      <w:tabs>
        <w:tab w:val="left" w:pos="709"/>
      </w:tabs>
      <w:spacing w:after="200"/>
      <w:ind w:left="714" w:hanging="357"/>
    </w:pPr>
  </w:style>
  <w:style w:type="paragraph" w:customStyle="1" w:styleId="AERnumberedlistfirststyle">
    <w:name w:val="AER numbered list (first style)"/>
    <w:basedOn w:val="AERbodytext"/>
    <w:qFormat/>
    <w:rsid w:val="006C50AD"/>
    <w:pPr>
      <w:numPr>
        <w:ilvl w:val="1"/>
      </w:numPr>
      <w:spacing w:after="200"/>
    </w:pPr>
  </w:style>
  <w:style w:type="paragraph" w:customStyle="1" w:styleId="AERnumberedlistsecondstyle">
    <w:name w:val="AER numbered list (second style)"/>
    <w:basedOn w:val="AERnumberedlistfirststyle"/>
    <w:qFormat/>
    <w:rsid w:val="006C50AD"/>
    <w:pPr>
      <w:numPr>
        <w:ilvl w:val="2"/>
      </w:numPr>
    </w:pPr>
  </w:style>
  <w:style w:type="paragraph" w:customStyle="1" w:styleId="AERnumberedlistthirdstyle">
    <w:name w:val="AER numbered list (third style)"/>
    <w:basedOn w:val="AERnumberedlistsecondstyle"/>
    <w:qFormat/>
    <w:rsid w:val="006C50AD"/>
    <w:pPr>
      <w:numPr>
        <w:ilvl w:val="3"/>
      </w:numPr>
    </w:pPr>
  </w:style>
  <w:style w:type="character" w:customStyle="1" w:styleId="AERtextbolditalics">
    <w:name w:val="AER text bold italics"/>
    <w:basedOn w:val="DefaultParagraphFont"/>
    <w:qFormat/>
    <w:rsid w:val="006C50AD"/>
    <w:rPr>
      <w:b/>
      <w:i/>
    </w:rPr>
  </w:style>
  <w:style w:type="numbering" w:customStyle="1" w:styleId="AERnumberedlist">
    <w:name w:val="AER numbered list"/>
    <w:uiPriority w:val="99"/>
    <w:rsid w:val="006C50AD"/>
    <w:pPr>
      <w:numPr>
        <w:numId w:val="10"/>
      </w:numPr>
    </w:pPr>
  </w:style>
  <w:style w:type="paragraph" w:customStyle="1" w:styleId="AERtitle1">
    <w:name w:val="AER title 1"/>
    <w:qFormat/>
    <w:rsid w:val="006C50AD"/>
    <w:pPr>
      <w:spacing w:after="240" w:line="288" w:lineRule="auto"/>
      <w:jc w:val="center"/>
    </w:pPr>
    <w:rPr>
      <w:rFonts w:ascii="Gautami" w:eastAsia="Times New Roman" w:hAnsi="Gautami"/>
      <w:b/>
      <w:sz w:val="40"/>
      <w:szCs w:val="24"/>
    </w:rPr>
  </w:style>
  <w:style w:type="paragraph" w:customStyle="1" w:styleId="AERtitle2">
    <w:name w:val="AER title 2"/>
    <w:qFormat/>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qFormat/>
    <w:rsid w:val="006C50AD"/>
    <w:pPr>
      <w:numPr>
        <w:ilvl w:val="4"/>
      </w:numPr>
    </w:pPr>
  </w:style>
  <w:style w:type="paragraph" w:customStyle="1" w:styleId="AERnumberedlist2second">
    <w:name w:val="AER numbered list 2 second"/>
    <w:basedOn w:val="AERnumberedlist2first"/>
    <w:qFormat/>
    <w:rsid w:val="006C50AD"/>
    <w:pPr>
      <w:numPr>
        <w:ilvl w:val="5"/>
      </w:numPr>
    </w:pPr>
  </w:style>
  <w:style w:type="paragraph" w:customStyle="1" w:styleId="AERnumberedlist2third">
    <w:name w:val="AER numbered list 2 third"/>
    <w:basedOn w:val="AERnumberedlist2second"/>
    <w:qFormat/>
    <w:rsid w:val="006C50AD"/>
    <w:pPr>
      <w:numPr>
        <w:ilvl w:val="6"/>
      </w:numPr>
    </w:pPr>
  </w:style>
  <w:style w:type="paragraph" w:customStyle="1" w:styleId="HeadingBoldItalic">
    <w:name w:val="Heading Bold Italic"/>
    <w:basedOn w:val="AERbodytext"/>
    <w:next w:val="AERbodytext"/>
    <w:qFormat/>
    <w:rsid w:val="006C50AD"/>
    <w:rPr>
      <w:b/>
      <w:i/>
    </w:rPr>
  </w:style>
  <w:style w:type="paragraph" w:customStyle="1" w:styleId="HeadingItalic">
    <w:name w:val="Heading Italic"/>
    <w:basedOn w:val="AERbodytext"/>
    <w:next w:val="AERbodytext"/>
    <w:qFormat/>
    <w:rsid w:val="006C50AD"/>
    <w:rPr>
      <w:i/>
    </w:rPr>
  </w:style>
  <w:style w:type="character" w:customStyle="1" w:styleId="Heading1Char">
    <w:name w:val="Heading 1 Char"/>
    <w:basedOn w:val="DefaultParagraphFont"/>
    <w:link w:val="Heading1"/>
    <w:uiPriority w:val="9"/>
    <w:rsid w:val="006C50AD"/>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6C50AD"/>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25069A"/>
    <w:pPr>
      <w:tabs>
        <w:tab w:val="center" w:pos="4513"/>
        <w:tab w:val="right" w:pos="9026"/>
      </w:tabs>
    </w:pPr>
  </w:style>
  <w:style w:type="character" w:customStyle="1" w:styleId="HeaderChar">
    <w:name w:val="Header Char"/>
    <w:basedOn w:val="DefaultParagraphFont"/>
    <w:link w:val="Header"/>
    <w:uiPriority w:val="99"/>
    <w:semiHidden/>
    <w:rsid w:val="0025069A"/>
    <w:rPr>
      <w:sz w:val="22"/>
      <w:szCs w:val="22"/>
      <w:lang w:eastAsia="en-US"/>
    </w:rPr>
  </w:style>
  <w:style w:type="paragraph" w:styleId="Footer">
    <w:name w:val="footer"/>
    <w:basedOn w:val="Normal"/>
    <w:link w:val="FooterChar"/>
    <w:uiPriority w:val="99"/>
    <w:unhideWhenUsed/>
    <w:rsid w:val="0025069A"/>
    <w:pPr>
      <w:tabs>
        <w:tab w:val="center" w:pos="4513"/>
        <w:tab w:val="right" w:pos="9026"/>
      </w:tabs>
    </w:pPr>
  </w:style>
  <w:style w:type="character" w:customStyle="1" w:styleId="FooterChar">
    <w:name w:val="Footer Char"/>
    <w:basedOn w:val="DefaultParagraphFont"/>
    <w:link w:val="Footer"/>
    <w:uiPriority w:val="99"/>
    <w:rsid w:val="0025069A"/>
    <w:rPr>
      <w:sz w:val="22"/>
      <w:szCs w:val="22"/>
      <w:lang w:eastAsia="en-US"/>
    </w:rPr>
  </w:style>
  <w:style w:type="table" w:styleId="TableGrid">
    <w:name w:val="Table Grid"/>
    <w:basedOn w:val="TableNormal"/>
    <w:uiPriority w:val="59"/>
    <w:rsid w:val="006F1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02D7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02D76"/>
    <w:rPr>
      <w:rFonts w:asciiTheme="majorHAnsi" w:eastAsiaTheme="majorEastAsia" w:hAnsiTheme="majorHAnsi" w:cstheme="majorBidi"/>
      <w:b/>
      <w:bCs/>
      <w:kern w:val="28"/>
      <w:sz w:val="32"/>
      <w:szCs w:val="32"/>
      <w:lang w:eastAsia="en-US"/>
    </w:rPr>
  </w:style>
  <w:style w:type="character" w:customStyle="1" w:styleId="Heading3Char">
    <w:name w:val="Heading 3 Char"/>
    <w:basedOn w:val="DefaultParagraphFont"/>
    <w:link w:val="Heading3"/>
    <w:uiPriority w:val="9"/>
    <w:rsid w:val="00CE1BD5"/>
    <w:rPr>
      <w:rFonts w:asciiTheme="majorHAnsi" w:eastAsiaTheme="majorEastAsia" w:hAnsiTheme="majorHAnsi" w:cstheme="majorBidi"/>
      <w:b/>
      <w:bCs/>
      <w:sz w:val="26"/>
      <w:szCs w:val="26"/>
      <w:lang w:eastAsia="en-US"/>
    </w:rPr>
  </w:style>
  <w:style w:type="paragraph" w:styleId="DocumentMap">
    <w:name w:val="Document Map"/>
    <w:basedOn w:val="Normal"/>
    <w:link w:val="DocumentMapChar"/>
    <w:uiPriority w:val="99"/>
    <w:semiHidden/>
    <w:unhideWhenUsed/>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rsid w:val="00587B2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8148031">
      <w:bodyDiv w:val="1"/>
      <w:marLeft w:val="0"/>
      <w:marRight w:val="0"/>
      <w:marTop w:val="0"/>
      <w:marBottom w:val="0"/>
      <w:divBdr>
        <w:top w:val="none" w:sz="0" w:space="0" w:color="auto"/>
        <w:left w:val="none" w:sz="0" w:space="0" w:color="auto"/>
        <w:bottom w:val="none" w:sz="0" w:space="0" w:color="auto"/>
        <w:right w:val="none" w:sz="0" w:space="0" w:color="auto"/>
      </w:divBdr>
    </w:div>
    <w:div w:id="2098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2961D-C5B4-42DB-A3C4-DF09E96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Rate of Return subgroup No. 1 ‘The overall rate of return and cost of equity’, workshop No. 1</vt:lpstr>
    </vt:vector>
  </TitlesOfParts>
  <Company>ACCC</Company>
  <LinksUpToDate>false</LinksUpToDate>
  <CharactersWithSpaces>3034</CharactersWithSpaces>
  <SharedDoc>false</SharedDoc>
  <HLinks>
    <vt:vector size="6" baseType="variant">
      <vt:variant>
        <vt:i4>6094942</vt:i4>
      </vt:variant>
      <vt:variant>
        <vt:i4>0</vt:i4>
      </vt:variant>
      <vt:variant>
        <vt:i4>0</vt:i4>
      </vt:variant>
      <vt:variant>
        <vt:i4>5</vt:i4>
      </vt:variant>
      <vt:variant>
        <vt:lpwstr>http://aer.gov.au/node/18859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AER</dc:creator>
  <cp:keywords/>
  <dc:description/>
  <cp:lastModifiedBy>tpits</cp:lastModifiedBy>
  <cp:revision>3</cp:revision>
  <cp:lastPrinted>2013-03-19T00:47:00Z</cp:lastPrinted>
  <dcterms:created xsi:type="dcterms:W3CDTF">2013-04-05T03:56:00Z</dcterms:created>
  <dcterms:modified xsi:type="dcterms:W3CDTF">2013-04-05T04:00:00Z</dcterms:modified>
</cp:coreProperties>
</file>